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A8B64">
      <w:pPr>
        <w:keepNext w:val="0"/>
        <w:keepLines w:val="0"/>
        <w:pageBreakBefore w:val="0"/>
        <w:kinsoku/>
        <w:wordWrap/>
        <w:overflowPunct/>
        <w:topLinePunct w:val="0"/>
        <w:autoSpaceDE/>
        <w:autoSpaceDN/>
        <w:bidi w:val="0"/>
        <w:adjustRightInd/>
        <w:snapToGrid/>
        <w:spacing w:line="600" w:lineRule="exact"/>
        <w:ind w:left="0" w:leftChars="0"/>
        <w:textAlignment w:val="auto"/>
        <w:rPr>
          <w:rFonts w:hint="eastAsia" w:ascii="方正小标宋简体" w:hAnsi="方正小标宋简体" w:eastAsia="方正小标宋简体" w:cs="方正小标宋简体"/>
          <w:sz w:val="40"/>
          <w:szCs w:val="40"/>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14:paraId="4F1AF96B">
      <w:pPr>
        <w:keepNext w:val="0"/>
        <w:keepLines w:val="0"/>
        <w:pageBreakBefore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方正小标宋简体" w:eastAsia="方正小标宋简体" w:cs="方正小标宋简体"/>
          <w:sz w:val="40"/>
          <w:szCs w:val="40"/>
          <w:lang w:eastAsia="zh-CN"/>
        </w:rPr>
      </w:pPr>
    </w:p>
    <w:p w14:paraId="73EB42E5">
      <w:pPr>
        <w:keepNext w:val="0"/>
        <w:keepLines w:val="0"/>
        <w:pageBreakBefore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方正小标宋简体" w:eastAsia="方正小标宋简体" w:cs="方正小标宋简体"/>
          <w:sz w:val="40"/>
          <w:szCs w:val="40"/>
          <w:lang w:eastAsia="zh-CN"/>
        </w:rPr>
      </w:pPr>
      <w:bookmarkStart w:id="0" w:name="_GoBack"/>
      <w:r>
        <w:rPr>
          <w:rFonts w:hint="eastAsia" w:ascii="方正小标宋简体" w:hAnsi="方正小标宋简体" w:eastAsia="方正小标宋简体" w:cs="方正小标宋简体"/>
          <w:sz w:val="40"/>
          <w:szCs w:val="40"/>
        </w:rPr>
        <w:t>202</w:t>
      </w:r>
      <w:r>
        <w:rPr>
          <w:rFonts w:hint="default" w:ascii="方正小标宋简体" w:hAnsi="方正小标宋简体" w:eastAsia="方正小标宋简体" w:cs="方正小标宋简体"/>
          <w:sz w:val="40"/>
          <w:szCs w:val="40"/>
          <w:lang w:val="en"/>
        </w:rPr>
        <w:t>6</w:t>
      </w:r>
      <w:r>
        <w:rPr>
          <w:rFonts w:hint="eastAsia" w:ascii="方正小标宋简体" w:hAnsi="方正小标宋简体" w:eastAsia="方正小标宋简体" w:cs="方正小标宋简体"/>
          <w:sz w:val="40"/>
          <w:szCs w:val="40"/>
          <w:lang w:val="en" w:eastAsia="zh-CN"/>
        </w:rPr>
        <w:t>年度</w:t>
      </w:r>
      <w:r>
        <w:rPr>
          <w:rFonts w:hint="eastAsia" w:ascii="方正小标宋简体" w:hAnsi="方正小标宋简体" w:eastAsia="方正小标宋简体" w:cs="方正小标宋简体"/>
          <w:sz w:val="40"/>
          <w:szCs w:val="40"/>
          <w:lang w:eastAsia="zh-CN"/>
        </w:rPr>
        <w:t>山西</w:t>
      </w:r>
      <w:r>
        <w:rPr>
          <w:rFonts w:hint="eastAsia" w:ascii="方正小标宋简体" w:hAnsi="方正小标宋简体" w:eastAsia="方正小标宋简体" w:cs="方正小标宋简体"/>
          <w:sz w:val="40"/>
          <w:szCs w:val="40"/>
        </w:rPr>
        <w:t>省文联研究课题参考选题</w:t>
      </w:r>
      <w:r>
        <w:rPr>
          <w:rFonts w:hint="eastAsia" w:ascii="方正小标宋简体" w:hAnsi="方正小标宋简体" w:eastAsia="方正小标宋简体" w:cs="方正小标宋简体"/>
          <w:sz w:val="40"/>
          <w:szCs w:val="40"/>
          <w:lang w:eastAsia="zh-CN"/>
        </w:rPr>
        <w:t>方向</w:t>
      </w:r>
    </w:p>
    <w:bookmarkEnd w:id="0"/>
    <w:p w14:paraId="4D7D3A3B">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0" w:leftChars="0"/>
        <w:jc w:val="both"/>
        <w:textAlignment w:val="auto"/>
        <w:rPr>
          <w:rFonts w:hint="eastAsia" w:ascii="仿宋_GB2312" w:hAnsi="仿宋_GB2312" w:eastAsia="仿宋_GB2312" w:cs="仿宋_GB2312"/>
          <w:i w:val="0"/>
          <w:iCs w:val="0"/>
          <w:caps w:val="0"/>
          <w:strike w:val="0"/>
          <w:dstrike w:val="0"/>
          <w:color w:val="auto"/>
          <w:spacing w:val="0"/>
          <w:kern w:val="0"/>
          <w:sz w:val="32"/>
          <w:szCs w:val="32"/>
          <w:shd w:val="clear" w:color="auto" w:fill="FFFFFF"/>
          <w:lang w:val="en-US" w:eastAsia="zh-CN" w:bidi="ar"/>
        </w:rPr>
      </w:pPr>
    </w:p>
    <w:p w14:paraId="7AE3E47D">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CESI黑体-GB2312" w:hAnsi="CESI黑体-GB2312" w:eastAsia="CESI黑体-GB2312" w:cs="CESI黑体-GB2312"/>
          <w:i w:val="0"/>
          <w:iCs w:val="0"/>
          <w:caps w:val="0"/>
          <w:color w:val="auto"/>
          <w:spacing w:val="0"/>
          <w:kern w:val="0"/>
          <w:sz w:val="32"/>
          <w:szCs w:val="32"/>
          <w:shd w:val="clear" w:color="auto" w:fill="FFFFFF"/>
          <w:lang w:val="en-US" w:eastAsia="zh-CN" w:bidi="ar"/>
        </w:rPr>
      </w:pPr>
      <w:r>
        <w:rPr>
          <w:rFonts w:hint="eastAsia" w:ascii="CESI黑体-GB2312" w:hAnsi="CESI黑体-GB2312" w:eastAsia="CESI黑体-GB2312" w:cs="CESI黑体-GB2312"/>
          <w:i w:val="0"/>
          <w:iCs w:val="0"/>
          <w:caps w:val="0"/>
          <w:color w:val="auto"/>
          <w:spacing w:val="0"/>
          <w:kern w:val="0"/>
          <w:sz w:val="32"/>
          <w:szCs w:val="32"/>
          <w:shd w:val="clear" w:color="auto" w:fill="FFFFFF"/>
          <w:lang w:val="en-US" w:eastAsia="zh-CN" w:bidi="ar"/>
        </w:rPr>
        <w:t>一、重大课题</w:t>
      </w:r>
    </w:p>
    <w:p w14:paraId="168AF5FF">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1.习近平文化思想特别是习近平总书记关于文艺工作重要论述的体系化学理化研究</w:t>
      </w:r>
    </w:p>
    <w:p w14:paraId="48F679B7">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2.“十五五”时期文联组织在文化强国建设中的职责使命、责任体系与战略实施路径研究</w:t>
      </w:r>
    </w:p>
    <w:p w14:paraId="2799CB97">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3.新时代马克思主义文艺理论中国化时代化与山西文艺发展规律研究</w:t>
      </w:r>
    </w:p>
    <w:p w14:paraId="2A3F44F3">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4.山西造型艺术（美术、书法、摄影）的时代精神表达与美学体系建构研究</w:t>
      </w:r>
    </w:p>
    <w:p w14:paraId="1FC091C6">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5.山西舞台艺术（戏剧、曲艺、音乐、舞蹈、杂技）传承创新与时代表达研究</w:t>
      </w:r>
    </w:p>
    <w:p w14:paraId="492A1C22">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6.中华优秀传统文化“两创”视域下山西民间文艺资源价值重估与体系化开发研究</w:t>
      </w:r>
    </w:p>
    <w:p w14:paraId="1AA5110D">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CESI黑体-GB2312" w:hAnsi="CESI黑体-GB2312" w:eastAsia="CESI黑体-GB2312" w:cs="CESI黑体-GB2312"/>
          <w:b w:val="0"/>
          <w:bCs w:val="0"/>
          <w:i w:val="0"/>
          <w:iCs w:val="0"/>
          <w:caps w:val="0"/>
          <w:color w:val="auto"/>
          <w:spacing w:val="0"/>
          <w:kern w:val="0"/>
          <w:sz w:val="32"/>
          <w:szCs w:val="32"/>
          <w:shd w:val="clear" w:color="auto" w:fill="FFFFFF"/>
          <w:lang w:val="en-US" w:eastAsia="zh-CN" w:bidi="ar"/>
        </w:rPr>
      </w:pPr>
      <w:r>
        <w:rPr>
          <w:rFonts w:hint="eastAsia" w:ascii="CESI黑体-GB2312" w:hAnsi="CESI黑体-GB2312" w:eastAsia="CESI黑体-GB2312" w:cs="CESI黑体-GB2312"/>
          <w:b w:val="0"/>
          <w:bCs w:val="0"/>
          <w:i w:val="0"/>
          <w:iCs w:val="0"/>
          <w:caps w:val="0"/>
          <w:color w:val="auto"/>
          <w:spacing w:val="0"/>
          <w:kern w:val="0"/>
          <w:sz w:val="32"/>
          <w:szCs w:val="32"/>
          <w:shd w:val="clear" w:color="auto" w:fill="FFFFFF"/>
          <w:lang w:val="en-US" w:eastAsia="zh-CN" w:bidi="ar"/>
        </w:rPr>
        <w:t>二、重点课题</w:t>
      </w:r>
    </w:p>
    <w:p w14:paraId="4B4DCC01">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1.“场景里的新时代”主题文艺创作全链条组织引导机制研究</w:t>
      </w:r>
    </w:p>
    <w:p w14:paraId="17A7C846">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2.新大众文艺发展背景下文联组织服务模式创新研究</w:t>
      </w:r>
    </w:p>
    <w:p w14:paraId="1174908A">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3.“人文经济学”视域下文艺赋能山西高质量发展与全方位转型的机制路径研究</w:t>
      </w:r>
    </w:p>
    <w:p w14:paraId="5D3CDD52">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4.中华美学精神的当代传承与山西文化遗产系统性保护活化研究</w:t>
      </w:r>
    </w:p>
    <w:p w14:paraId="062D6C37">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5.山西影视艺术（电影、电视）精品创作扶持体系与产业生态优化研究</w:t>
      </w:r>
    </w:p>
    <w:p w14:paraId="23EF27EC">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6.山西造型艺术（美术、书法、摄影）创作引领与数字传播机制创新研究</w:t>
      </w:r>
    </w:p>
    <w:p w14:paraId="7CDE3601">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7.山西舞台艺术（戏剧、曲艺、音乐、舞蹈、杂技）创作生产与文旅融合发展模式及长效机制研究</w:t>
      </w:r>
    </w:p>
    <w:p w14:paraId="5D0C901F">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8.新时代山西文艺评论阵地建设、人才培养与价值引导机制研究</w:t>
      </w:r>
    </w:p>
    <w:p w14:paraId="7A110BEE">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9.“文艺赋美乡村”背景下文联助力乡村文化振兴的实践路径与长效机制研究</w:t>
      </w:r>
    </w:p>
    <w:p w14:paraId="3A97423B">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10.山西地方戏剧传承发展与人才梯队建设研究</w:t>
      </w:r>
    </w:p>
    <w:p w14:paraId="43C4017D">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CESI黑体-GB2312" w:hAnsi="CESI黑体-GB2312" w:eastAsia="CESI黑体-GB2312" w:cs="CESI黑体-GB2312"/>
          <w:b w:val="0"/>
          <w:bCs w:val="0"/>
          <w:i w:val="0"/>
          <w:iCs w:val="0"/>
          <w:caps w:val="0"/>
          <w:color w:val="auto"/>
          <w:spacing w:val="0"/>
          <w:kern w:val="0"/>
          <w:sz w:val="32"/>
          <w:szCs w:val="32"/>
          <w:shd w:val="clear" w:color="auto" w:fill="FFFFFF"/>
          <w:lang w:val="en-US" w:eastAsia="zh-CN" w:bidi="ar"/>
        </w:rPr>
      </w:pPr>
      <w:r>
        <w:rPr>
          <w:rFonts w:hint="eastAsia" w:ascii="CESI黑体-GB2312" w:hAnsi="CESI黑体-GB2312" w:eastAsia="CESI黑体-GB2312" w:cs="CESI黑体-GB2312"/>
          <w:b w:val="0"/>
          <w:bCs w:val="0"/>
          <w:i w:val="0"/>
          <w:iCs w:val="0"/>
          <w:caps w:val="0"/>
          <w:color w:val="auto"/>
          <w:spacing w:val="0"/>
          <w:kern w:val="0"/>
          <w:sz w:val="32"/>
          <w:szCs w:val="32"/>
          <w:shd w:val="clear" w:color="auto" w:fill="FFFFFF"/>
          <w:lang w:val="en-US" w:eastAsia="zh-CN" w:bidi="ar"/>
        </w:rPr>
        <w:t>三、调研课题</w:t>
      </w:r>
    </w:p>
    <w:p w14:paraId="754BBB1C">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1.以“抓创作”为主线推动文联系统高质量发展的制约因素与突破路径调研</w:t>
      </w:r>
    </w:p>
    <w:p w14:paraId="5130CC4D">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2.地市级文联工作现实困境与基层文艺服务效能提升对策调研</w:t>
      </w:r>
    </w:p>
    <w:p w14:paraId="484FC4D7">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3.文艺领域意识形态风险点精准研判与宣传舆情协同处置机制调研</w:t>
      </w:r>
    </w:p>
    <w:p w14:paraId="6C844886">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4.文艺惠民服务精准供给模式、供需匹配度与效能评估体系调研</w:t>
      </w:r>
    </w:p>
    <w:p w14:paraId="065EB277">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5.“文艺两新”和青年创作人才队伍培养现状与扶持需求调研</w:t>
      </w:r>
    </w:p>
    <w:p w14:paraId="53A6BB54">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6.“十五五”时期山西文艺精品创作选题策划与服务引导机制调研</w:t>
      </w:r>
    </w:p>
    <w:p w14:paraId="7B0C37BE">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7.山西影视艺术（电影、电视）创作力量、生产机制与全媒体传播效果实证调研</w:t>
      </w:r>
    </w:p>
    <w:p w14:paraId="204D649D">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8.山西造型艺术（美术、书法、摄影）创作人才队伍与市场生态调研</w:t>
      </w:r>
    </w:p>
    <w:p w14:paraId="7226768E">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9.山西舞台艺术（戏剧、曲艺、音乐、舞蹈、杂技）基层院团生存现状、传承困境与发展需求调研</w:t>
      </w:r>
    </w:p>
    <w:p w14:paraId="373637EA">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10.山西民间文艺保护传承现状、典型经验与活化利用模式调研</w:t>
      </w:r>
    </w:p>
    <w:p w14:paraId="27F89F66">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11.山西文艺评论队伍建设、阵地运营与行业影响力提升现状调研</w:t>
      </w:r>
    </w:p>
    <w:p w14:paraId="05CDB5E4">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shd w:val="clear" w:color="auto" w:fill="FFFFFF"/>
          <w:lang w:val="en-US" w:eastAsia="zh-CN" w:bidi="ar"/>
        </w:rPr>
        <w:t>12.新时代文联深化改革与组织效能提升的关键堵点与改革路径调研</w:t>
      </w:r>
    </w:p>
    <w:p w14:paraId="456F35BE">
      <w:pPr>
        <w:pStyle w:val="2"/>
        <w:keepNext w:val="0"/>
        <w:keepLines w:val="0"/>
        <w:pageBreakBefore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仿宋_GB2312" w:hAnsi="仿宋_GB2312" w:eastAsia="仿宋_GB2312" w:cs="仿宋_GB2312"/>
          <w:i w:val="0"/>
          <w:iCs w:val="0"/>
          <w:caps w:val="0"/>
          <w:strike w:val="0"/>
          <w:dstrike w:val="0"/>
          <w:color w:val="auto"/>
          <w:spacing w:val="0"/>
          <w:kern w:val="0"/>
          <w:sz w:val="32"/>
          <w:szCs w:val="32"/>
          <w:shd w:val="clear" w:color="auto" w:fill="FFFFFF"/>
          <w:lang w:val="en-US" w:eastAsia="zh-CN" w:bidi="ar"/>
        </w:rPr>
      </w:pPr>
    </w:p>
    <w:p w14:paraId="379DE2A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878F7"/>
    <w:rsid w:val="7BD87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0"/>
    <w:pPr>
      <w:snapToGrid w:val="0"/>
    </w:pPr>
    <w:rPr>
      <w:rFonts w:ascii="Arial" w:hAnsi="Arial"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2026-06-01T09:50:00Z</dcterms:created>
  <dc:creator>　　　Matcha</dc:creator>
  <cp:lastModifiedBy>　　　Matcha</cp:lastModifiedBy>
  <dcterms:modified xsi:type="dcterms:W3CDTF">2026-06-01T09:50:55Z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CB2D321FFA2C455CB414320B8EA983A5_11</vt:lpwstr>
  </property>
  <property fmtid="{D5CDD505-2E9C-101B-9397-08002B2CF9AE}" pid="4" name="KSOTemplateDocerSaveRecord">
    <vt:lpwstr>eyJoZGlkIjoiN2ZkZWZiNWVhOWRhYTRjYThiNjcyOWExMzA4YzYzMjEiLCJ1c2VySWQiOiIzNTgwOTk0ODAifQ==</vt:lpwstr>
  </property>
</Properties>
</file>